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72" w:rsidRDefault="00E63772" w:rsidP="00E63772">
      <w:pPr>
        <w:jc w:val="both"/>
        <w:rPr>
          <w:sz w:val="28"/>
          <w:szCs w:val="28"/>
        </w:rPr>
      </w:pPr>
      <w:hyperlink r:id="rId4" w:history="1">
        <w:r>
          <w:rPr>
            <w:rStyle w:val="a3"/>
            <w:sz w:val="28"/>
            <w:szCs w:val="28"/>
          </w:rPr>
          <w:t>http://mineco.e-mordovia.ru/strategy-of-development-pfo-till-2020/index.php</w:t>
        </w:r>
      </w:hyperlink>
      <w:r>
        <w:rPr>
          <w:sz w:val="28"/>
          <w:szCs w:val="28"/>
        </w:rPr>
        <w:t>.</w:t>
      </w:r>
    </w:p>
    <w:p w:rsidR="00000000" w:rsidRDefault="00E6377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772"/>
    <w:rsid w:val="00E6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7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eco.e-mordovia.ru/strategy-of-development-pfo-till-2020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2018-03-05T14:44:00Z</dcterms:created>
  <dcterms:modified xsi:type="dcterms:W3CDTF">2018-03-05T14:44:00Z</dcterms:modified>
</cp:coreProperties>
</file>